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75</w:t>
      </w:r>
    </w:p>
    <w:p>
      <w:r>
        <w:t>Bundesgericht (BGE), 1981-07-20, DE</w:t>
      </w:r>
    </w:p>
    <w:p>
      <w:r>
        <w:rPr>
          <w:b/>
        </w:rPr>
        <w:t xml:space="preserve">Quelle: </w:t>
      </w:r>
      <w:r>
        <w:t>https://mcp.opencaselaw.ch/entscheid/bge_107 III 75</w:t>
      </w:r>
    </w:p>
    <w:p>
      <w:r>
        <w:t>FR: ATF 107 III 75</w:t>
      </w:r>
    </w:p>
    <w:p>
      <w:r>
        <w:t>IT: DTF 107 III 75</w:t>
      </w:r>
    </w:p>
    <w:p>
      <w:pPr>
        <w:pStyle w:val="Heading2"/>
      </w:pPr>
      <w:r>
        <w:t>Regeste</w:t>
      </w:r>
    </w:p>
    <w:p>
      <w:r>
        <w:t>Regeste Lohnpfändung für Unterhaltsansprüche bei bestehenden Lohnzessionen. Verhältnis der Ansprüche der Alimentengläubiger zum Notbedarf des Schuldners (E. 1 und 2) und zu den Ansprüchen der Lohnzessionare (E. 2).</w:t>
      </w:r>
    </w:p>
    <w:p>
      <w:pPr>
        <w:pStyle w:val="Heading2"/>
      </w:pPr>
      <w:r>
        <w:t>Erwägungen</w:t>
      </w:r>
    </w:p>
    <w:p>
      <w:r>
        <w:rPr>
          <w:b/>
        </w:rPr>
        <w:t>E. 1</w:t>
      </w:r>
    </w:p>
    <w:p>
      <w:r>
        <w:t>Gemäss ständiger Rechtsprechung sind familienrechtliche Unterhaltsbeiträge bei der Ermittlung des Existenzminimums des BGE 107 III 75 S. 77 Schuldners als Notbedarfsausgaben mitzuberücksichtigen, soweit der Alimentengläubiger, was im Zweifelsfall vermutet wird, die Beiträge zur Bestreitung seines Unterhalts wirklich benötigt und vorausgesetzt, dass der Schuldner sie auch tatsächlich bezahlt ( BGE 89 III 66 f. mit Hinweisen). In Betreibung gesetzte Unterhaltsforderungen sind dabei stets zu berücksichtigen (vgl. BGE 89 III 67 ). Reicht der Verdienst des für Unterhaltsbeiträge Betriebenen nicht aus, den Notbedarf einschliesslich der für den Unterhalt des Gläubigers notwendigen Alimente zu decken, hat sich der betriebene Schuldner einen Eingriff in sein Existenzminimum gefallen zu lassen. Dieser Eingriff ist so zu bemessen, dass sich der Schuldner und der Gläubiger im gleichen Verhältnis einschränken müssen ( BGE 105 III 53 E. 3 mit Hinweisen).</w:t>
      </w:r>
    </w:p>
    <w:p>
      <w:r>
        <w:rPr>
          <w:b/>
        </w:rPr>
        <w:t>E. 2</w:t>
      </w:r>
    </w:p>
    <w:p>
      <w:r>
        <w:t>Aus dem Gesagten erhellt, dass der Vorinstanz nicht beizupflichten ist, wenn sie die Auffassung vertritt, die Lohnzessionare gingen den beiden betreibenden Alimentengläubigern grundsätzlich vor und es dürfe unter den gegebenen Verhältnissen nur insoweit eine Lohnpfändung vorgenommen werden, als die Lohnzessionen durch den Rekurrenten bestritten würden. Es verhält sich vielmehr so, dass Lohnzessionen, die in den - hier um die in Betreibung gesetzten Unterhaltsbeiträge zu erhöhenden - betreibungsrechtlichen Notbedarf eingreifen, nichtig sind ( Art. 325 Abs. 1 OR ; dazu auch BGE 95 III 41 ). Die richtige Lösung der erwähnten Interessenkollision liegt in den Ausführungen unter Ziffer 2b der Begründung im angefochtenen Entscheid. Zu dem durch das Betreibungsamt mit Fr. 1'445.45 angegebenen Notbedarf des Betreibungsschuldners sind die in Betreibung gesetzten Unterhaltsbeiträge von Fr. 120.-- und Fr. 528.-- im Monat hinzuzuschlagen. Da dieser erweiterte Notbedarf von Fr. 2'093.45 den Monatsverdienst von Fr. 2'020.-- überschreitet, ist der pfändbare Betrag nach der in BGE 71 III 177 f. E. 3 entwickelten Formel zu ermitteln, so dass dem Rekurrenten Fr. 115.80, der früheren Ehefrau des Schuldners Fr. 509.60 und dem Schuldner selbst Fr. 1'394.60 im Monat zukommen.</w:t>
      </w:r>
    </w:p>
    <w:p>
      <w:r>
        <w:rPr>
          <w:b/>
        </w:rPr>
        <w:t>E. 3</w:t>
      </w:r>
    </w:p>
    <w:p>
      <w:r>
        <w:t>Die Pfändung wurde nur durch den Rekurrenten angefochten. Sie ist indessen auch insoweit aufzuheben, als sie zu Gunsten der früheren Ehefrau des Schuldners vollzogen wurde, sind doch die für eine Lohnpfändung massgebenden Verhältnisse von Amtes wegen abzuklären ( BGE 105 III 55 E. 5 mit Hinweisen). Es ginge nicht an, das Betreibungsamt mit Bezug auf die Betreibung der früheren Ehefrau des Schuldners deshalb eine unrichtige BGE 107 III 75 S. 78 Pfändung vornehmen zu lassen, weil diese Alimentengläubigerin die ursprüngliche Pfändung nicht beanstandet hat. Der angefochtene Entscheid ist nach dem Gesagten aufzuheben und das Betreibungsamt... anzuweisen, unter Beachtung des Ausgeführten eine neue Lohnpfändung zu vollziehen.</w:t>
      </w:r>
    </w:p>
    <w:p>
      <w:r>
        <w:rPr>
          <w:b/>
        </w:rPr>
        <w:t>E. 4</w:t>
      </w:r>
    </w:p>
    <w:p>
      <w:r>
        <w:t>Die Lohnzessionare werden bei der neuen Pfändung leer ausgehen. Das Betreibungsamt wird ihnen angesichts dieses Eingriffes in ihre Rechtsstellung von der Pfändung Kenntnis geben müssen, damit sie zur Wahrung ihrer Interessen gegebenenfalls die für die Schuldbetreibungs- und Konkurskammer im vorliegenden Verfahren verbindlichen Feststellungen über den Lohn des Betreibungsschuldners bzw. über einzelne für dessen Notbedarf massgebende Positionen mit Beschwerde anfechten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